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Data protection impact assessment: a worked example</w:t>
      </w:r>
    </w:p>
    <w:p>
      <w:r>
        <w:rPr>
          <w:i/>
        </w:rPr>
        <w:t>A filled-in example from ReclaimTime (reclaimtime.com) for a desktop workforce analytics tool, laid out like the UK ICO’s sample DPIA template. "Example Contact Center" is fictional. Use it to see what a finished assessment looks like, then write your own from your own facts. This is not legal advice. Product facts are from the ReclaimTime documentation (docs.reclaimtime.com/it/data-collected), checked 5 Nov 2026.</w:t>
      </w:r>
    </w:p>
    <w:p>
      <w:pPr>
        <w:pStyle w:val="Heading1"/>
      </w:pPr>
      <w:r>
        <w:t>1. Why a DPIA is needed</w:t>
      </w:r>
    </w:p>
    <w:p>
      <w:r>
        <w:t>Example Contact Center plans to record application and website use on 400 agent PCs across two sites in two countries. This is systematic monitoring of employees, who are in an unequal position to their employer, and that is processing likely to need a DPIA. We are completing one before the pilot starts.</w:t>
      </w:r>
    </w:p>
    <w:p>
      <w:pPr>
        <w:pStyle w:val="Heading1"/>
      </w:pPr>
      <w:r>
        <w:t>2. Description of the processing</w:t>
      </w:r>
    </w:p>
    <w:p>
      <w:r>
        <w:t>Nature. A Windows client on each agent PC records which application and website host is in use, the window title, and four durations per session (focused, visible, typing and meeting time). Rows are sent over HTTPS to the ReclaimTime backend, run by Reclaim Time Ltd as our processor, and read by supervisors in a web dashboard.</w:t>
      </w:r>
    </w:p>
    <w:p>
      <w:r>
        <w:t>Scope. 400 agents and 40 team leaders. Recording happens only inside each agent’s scheduled shift. Data categories: name, account, group, computer name and model, operating system, and the activity fields above. No special category data is sought; window titles could occasionally reveal some (risk R1).</w:t>
      </w:r>
    </w:p>
    <w:p>
      <w:r>
        <w:t>Context. Agents handle customer calls and chats for two client programs. Agents expect their work systems to be monitored for quality, but not their personal browsing. The works council at one site must be consulted.</w:t>
      </w:r>
    </w:p>
    <w:p>
      <w:r>
        <w:t>Purposes. Plan staffing from where shift time actually goes; find applications that slow handling down; report productive hours to our clients; support coaching conversations with team-level data.</w:t>
      </w:r>
    </w:p>
    <w:p>
      <w:pPr>
        <w:pStyle w:val="Heading1"/>
      </w:pPr>
      <w:r>
        <w:t>3. Consultation</w:t>
      </w:r>
    </w:p>
    <w:p>
      <w:pPr>
        <w:pStyle w:val="ListBullet"/>
      </w:pPr>
      <w:r>
        <w:t>Works council (site A): shown the field list and this draft; asked for the corporate list approach and the rule on discipline in measure M3. Agreed with changes recorded in the minutes of [date].</w:t>
      </w:r>
    </w:p>
    <w:p>
      <w:pPr>
        <w:pStyle w:val="ListBullet"/>
      </w:pPr>
      <w:r>
        <w:t>Agent representatives (site B): briefing and questions; the main concern was personal browsing on breaks, answered by the anonymous counting in measure M2.</w:t>
      </w:r>
    </w:p>
    <w:p>
      <w:pPr>
        <w:pStyle w:val="ListBullet"/>
      </w:pPr>
      <w:r>
        <w:t>IT security: reviewed network traffic (outbound HTTPS on port 443 only, nothing listening on the PC) and the code signing of the installers.</w:t>
      </w:r>
    </w:p>
    <w:p>
      <w:pPr>
        <w:pStyle w:val="ListBullet"/>
      </w:pPr>
      <w:r>
        <w:t>Processor: Reclaim Time Ltd answered our security questionnaire and confirmed hosting, sub-processors and retention in writing.</w:t>
      </w:r>
    </w:p>
    <w:p>
      <w:pPr>
        <w:pStyle w:val="Heading1"/>
      </w:pPr>
      <w:r>
        <w:t>4. Necessity and proportionality</w:t>
      </w:r>
    </w:p>
    <w:p>
      <w:r>
        <w:t>Lawful basis: legitimate interests (planning and client reporting), with a legitimate interests assessment attached. Consent is not used, because employees cannot freely refuse it.</w:t>
      </w:r>
    </w:p>
    <w:p>
      <w:r>
        <w:t>Less intrusive options considered: telephony and WFM data alone (they show logged-in time, not what the PC was used for, so they cannot answer the planning question); a one-off time-and-motion study (does not cover night shifts or both sites). Desktop time by application is the least data that answers the question.</w:t>
      </w:r>
    </w:p>
    <w:p>
      <w:r>
        <w:t>Data minimization: the tool does not record keystroke contents, clipboard, camera, microphone, file contents, email, chat or call contents, passwords or location, and no setting enables them. Recording stops outside each shift. Full page addresses are off; only the website host is recorded.</w:t>
      </w:r>
    </w:p>
    <w:p>
      <w:r>
        <w:t>Transparency: an acceptable use policy and a one-page notice are issued before the pilot, listing every field and who can see it. The client runs locked, with no window for the agent to open, so all information comes from the employer.</w:t>
      </w:r>
    </w:p>
    <w:p>
      <w:pPr>
        <w:pStyle w:val="Heading1"/>
      </w:pPr>
      <w:r>
        <w:t>5. Risks</w:t>
      </w:r>
    </w:p>
    <w:tbl>
      <w:tblPr>
        <w:tblStyle w:val="LightGrid-Accent1"/>
        <w:tblW w:type="auto" w:w="0"/>
        <w:tblLook w:firstColumn="1" w:firstRow="1" w:lastColumn="0" w:lastRow="0" w:noHBand="0" w:noVBand="1" w:val="04A0"/>
      </w:tblPr>
      <w:tblGrid>
        <w:gridCol w:w="1728"/>
        <w:gridCol w:w="1728"/>
        <w:gridCol w:w="1728"/>
        <w:gridCol w:w="1728"/>
        <w:gridCol w:w="1728"/>
      </w:tblGrid>
      <w:tr>
        <w:tc>
          <w:tcPr>
            <w:tcW w:type="dxa" w:w="1728"/>
          </w:tcPr>
          <w:p>
            <w:r>
              <w:t>Ref</w:t>
            </w:r>
          </w:p>
        </w:tc>
        <w:tc>
          <w:tcPr>
            <w:tcW w:type="dxa" w:w="1728"/>
          </w:tcPr>
          <w:p>
            <w:r>
              <w:t>Risk to individuals</w:t>
            </w:r>
          </w:p>
        </w:tc>
        <w:tc>
          <w:tcPr>
            <w:tcW w:type="dxa" w:w="1728"/>
          </w:tcPr>
          <w:p>
            <w:r>
              <w:t>Likelihood</w:t>
            </w:r>
          </w:p>
        </w:tc>
        <w:tc>
          <w:tcPr>
            <w:tcW w:type="dxa" w:w="1728"/>
          </w:tcPr>
          <w:p>
            <w:r>
              <w:t>Severity</w:t>
            </w:r>
          </w:p>
        </w:tc>
        <w:tc>
          <w:tcPr>
            <w:tcW w:type="dxa" w:w="1728"/>
          </w:tcPr>
          <w:p>
            <w:r>
              <w:t>Overall</w:t>
            </w:r>
          </w:p>
        </w:tc>
      </w:tr>
      <w:tr>
        <w:tc>
          <w:tcPr>
            <w:tcW w:type="dxa" w:w="1728"/>
          </w:tcPr>
          <w:p>
            <w:r>
              <w:t>R1</w:t>
            </w:r>
          </w:p>
        </w:tc>
        <w:tc>
          <w:tcPr>
            <w:tcW w:type="dxa" w:w="1728"/>
          </w:tcPr>
          <w:p>
            <w:r>
              <w:t>Window titles can contain a customer name, an email subject or a document name, which supervisors could read.</w:t>
            </w:r>
          </w:p>
        </w:tc>
        <w:tc>
          <w:tcPr>
            <w:tcW w:type="dxa" w:w="1728"/>
          </w:tcPr>
          <w:p>
            <w:r>
              <w:t>Possible</w:t>
            </w:r>
          </w:p>
        </w:tc>
        <w:tc>
          <w:tcPr>
            <w:tcW w:type="dxa" w:w="1728"/>
          </w:tcPr>
          <w:p>
            <w:r>
              <w:t>Significant</w:t>
            </w:r>
          </w:p>
        </w:tc>
        <w:tc>
          <w:tcPr>
            <w:tcW w:type="dxa" w:w="1728"/>
          </w:tcPr>
          <w:p>
            <w:r>
              <w:t>Medium</w:t>
            </w:r>
          </w:p>
        </w:tc>
      </w:tr>
      <w:tr>
        <w:tc>
          <w:tcPr>
            <w:tcW w:type="dxa" w:w="1728"/>
          </w:tcPr>
          <w:p>
            <w:r>
              <w:t>R2</w:t>
            </w:r>
          </w:p>
        </w:tc>
        <w:tc>
          <w:tcPr>
            <w:tcW w:type="dxa" w:w="1728"/>
          </w:tcPr>
          <w:p>
            <w:r>
              <w:t>Personal browsing on breaks becomes a per-person record.</w:t>
            </w:r>
          </w:p>
        </w:tc>
        <w:tc>
          <w:tcPr>
            <w:tcW w:type="dxa" w:w="1728"/>
          </w:tcPr>
          <w:p>
            <w:r>
              <w:t>Probable without measures</w:t>
            </w:r>
          </w:p>
        </w:tc>
        <w:tc>
          <w:tcPr>
            <w:tcW w:type="dxa" w:w="1728"/>
          </w:tcPr>
          <w:p>
            <w:r>
              <w:t>Significant</w:t>
            </w:r>
          </w:p>
        </w:tc>
        <w:tc>
          <w:tcPr>
            <w:tcW w:type="dxa" w:w="1728"/>
          </w:tcPr>
          <w:p>
            <w:r>
              <w:t>High</w:t>
            </w:r>
          </w:p>
        </w:tc>
      </w:tr>
      <w:tr>
        <w:tc>
          <w:tcPr>
            <w:tcW w:type="dxa" w:w="1728"/>
          </w:tcPr>
          <w:p>
            <w:r>
              <w:t>R3</w:t>
            </w:r>
          </w:p>
        </w:tc>
        <w:tc>
          <w:tcPr>
            <w:tcW w:type="dxa" w:w="1728"/>
          </w:tcPr>
          <w:p>
            <w:r>
              <w:t>Focused time is read as attendance, and agents on softphone calls or away from the keyboard are treated as idle.</w:t>
            </w:r>
          </w:p>
        </w:tc>
        <w:tc>
          <w:tcPr>
            <w:tcW w:type="dxa" w:w="1728"/>
          </w:tcPr>
          <w:p>
            <w:r>
              <w:t>Probable</w:t>
            </w:r>
          </w:p>
        </w:tc>
        <w:tc>
          <w:tcPr>
            <w:tcW w:type="dxa" w:w="1728"/>
          </w:tcPr>
          <w:p>
            <w:r>
              <w:t>Significant</w:t>
            </w:r>
          </w:p>
        </w:tc>
        <w:tc>
          <w:tcPr>
            <w:tcW w:type="dxa" w:w="1728"/>
          </w:tcPr>
          <w:p>
            <w:r>
              <w:t>High</w:t>
            </w:r>
          </w:p>
        </w:tc>
      </w:tr>
      <w:tr>
        <w:tc>
          <w:tcPr>
            <w:tcW w:type="dxa" w:w="1728"/>
          </w:tcPr>
          <w:p>
            <w:r>
              <w:t>R4</w:t>
            </w:r>
          </w:p>
        </w:tc>
        <w:tc>
          <w:tcPr>
            <w:tcW w:type="dxa" w:w="1728"/>
          </w:tcPr>
          <w:p>
            <w:r>
              <w:t>Supervisors see teams other than their own.</w:t>
            </w:r>
          </w:p>
        </w:tc>
        <w:tc>
          <w:tcPr>
            <w:tcW w:type="dxa" w:w="1728"/>
          </w:tcPr>
          <w:p>
            <w:r>
              <w:t>Remote</w:t>
            </w:r>
          </w:p>
        </w:tc>
        <w:tc>
          <w:tcPr>
            <w:tcW w:type="dxa" w:w="1728"/>
          </w:tcPr>
          <w:p>
            <w:r>
              <w:t>Minimal</w:t>
            </w:r>
          </w:p>
        </w:tc>
        <w:tc>
          <w:tcPr>
            <w:tcW w:type="dxa" w:w="1728"/>
          </w:tcPr>
          <w:p>
            <w:r>
              <w:t>Low</w:t>
            </w:r>
          </w:p>
        </w:tc>
      </w:tr>
      <w:tr>
        <w:tc>
          <w:tcPr>
            <w:tcW w:type="dxa" w:w="1728"/>
          </w:tcPr>
          <w:p>
            <w:r>
              <w:t>R5</w:t>
            </w:r>
          </w:p>
        </w:tc>
        <w:tc>
          <w:tcPr>
            <w:tcW w:type="dxa" w:w="1728"/>
          </w:tcPr>
          <w:p>
            <w:r>
              <w:t>Data is kept longer than needed.</w:t>
            </w:r>
          </w:p>
        </w:tc>
        <w:tc>
          <w:tcPr>
            <w:tcW w:type="dxa" w:w="1728"/>
          </w:tcPr>
          <w:p>
            <w:r>
              <w:t>Probable without measures</w:t>
            </w:r>
          </w:p>
        </w:tc>
        <w:tc>
          <w:tcPr>
            <w:tcW w:type="dxa" w:w="1728"/>
          </w:tcPr>
          <w:p>
            <w:r>
              <w:t>Significant</w:t>
            </w:r>
          </w:p>
        </w:tc>
        <w:tc>
          <w:tcPr>
            <w:tcW w:type="dxa" w:w="1728"/>
          </w:tcPr>
          <w:p>
            <w:r>
              <w:t>Medium</w:t>
            </w:r>
          </w:p>
        </w:tc>
      </w:tr>
      <w:tr>
        <w:tc>
          <w:tcPr>
            <w:tcW w:type="dxa" w:w="1728"/>
          </w:tcPr>
          <w:p>
            <w:r>
              <w:t>R6</w:t>
            </w:r>
          </w:p>
        </w:tc>
        <w:tc>
          <w:tcPr>
            <w:tcW w:type="dxa" w:w="1728"/>
          </w:tcPr>
          <w:p>
            <w:r>
              <w:t>Data is intercepted or accessed by an outsider.</w:t>
            </w:r>
          </w:p>
        </w:tc>
        <w:tc>
          <w:tcPr>
            <w:tcW w:type="dxa" w:w="1728"/>
          </w:tcPr>
          <w:p>
            <w:r>
              <w:t>Remote</w:t>
            </w:r>
          </w:p>
        </w:tc>
        <w:tc>
          <w:tcPr>
            <w:tcW w:type="dxa" w:w="1728"/>
          </w:tcPr>
          <w:p>
            <w:r>
              <w:t>Severe</w:t>
            </w:r>
          </w:p>
        </w:tc>
        <w:tc>
          <w:tcPr>
            <w:tcW w:type="dxa" w:w="1728"/>
          </w:tcPr>
          <w:p>
            <w:r>
              <w:t>Medium</w:t>
            </w:r>
          </w:p>
        </w:tc>
      </w:tr>
    </w:tbl>
    <w:p/>
    <w:p>
      <w:pPr>
        <w:pStyle w:val="Heading1"/>
      </w:pPr>
      <w:r>
        <w:t>6. Measures to reduce the risks</w:t>
      </w:r>
    </w:p>
    <w:tbl>
      <w:tblPr>
        <w:tblStyle w:val="LightGrid-Accent1"/>
        <w:tblW w:type="auto" w:w="0"/>
        <w:tblLook w:firstColumn="1" w:firstRow="1" w:lastColumn="0" w:lastRow="0" w:noHBand="0" w:noVBand="1" w:val="04A0"/>
      </w:tblPr>
      <w:tblGrid>
        <w:gridCol w:w="2160"/>
        <w:gridCol w:w="2160"/>
        <w:gridCol w:w="2160"/>
        <w:gridCol w:w="2160"/>
      </w:tblGrid>
      <w:tr>
        <w:tc>
          <w:tcPr>
            <w:tcW w:type="dxa" w:w="2160"/>
          </w:tcPr>
          <w:p>
            <w:r>
              <w:t>Risk</w:t>
            </w:r>
          </w:p>
        </w:tc>
        <w:tc>
          <w:tcPr>
            <w:tcW w:type="dxa" w:w="2160"/>
          </w:tcPr>
          <w:p>
            <w:r>
              <w:t>Measure</w:t>
            </w:r>
          </w:p>
        </w:tc>
        <w:tc>
          <w:tcPr>
            <w:tcW w:type="dxa" w:w="2160"/>
          </w:tcPr>
          <w:p>
            <w:r>
              <w:t>Effect</w:t>
            </w:r>
          </w:p>
        </w:tc>
        <w:tc>
          <w:tcPr>
            <w:tcW w:type="dxa" w:w="2160"/>
          </w:tcPr>
          <w:p>
            <w:r>
              <w:t>Residual risk</w:t>
            </w:r>
          </w:p>
        </w:tc>
      </w:tr>
      <w:tr>
        <w:tc>
          <w:tcPr>
            <w:tcW w:type="dxa" w:w="2160"/>
          </w:tcPr>
          <w:p>
            <w:r>
              <w:t>R1</w:t>
            </w:r>
          </w:p>
        </w:tc>
        <w:tc>
          <w:tcPr>
            <w:tcW w:type="dxa" w:w="2160"/>
          </w:tcPr>
          <w:p>
            <w:r>
              <w:t>M1: Only supervisors see titles, and the agent notice says titles are recorded. Review title use after the pilot and restrict reports to applications and hosts if titles are not needed.</w:t>
            </w:r>
          </w:p>
        </w:tc>
        <w:tc>
          <w:tcPr>
            <w:tcW w:type="dxa" w:w="2160"/>
          </w:tcPr>
          <w:p>
            <w:r>
              <w:t>Reduced</w:t>
            </w:r>
          </w:p>
        </w:tc>
        <w:tc>
          <w:tcPr>
            <w:tcW w:type="dxa" w:w="2160"/>
          </w:tcPr>
          <w:p>
            <w:r>
              <w:t>Low</w:t>
            </w:r>
          </w:p>
        </w:tc>
      </w:tr>
      <w:tr>
        <w:tc>
          <w:tcPr>
            <w:tcW w:type="dxa" w:w="2160"/>
          </w:tcPr>
          <w:p>
            <w:r>
              <w:t>R2</w:t>
            </w:r>
          </w:p>
        </w:tc>
        <w:tc>
          <w:tcPr>
            <w:tcW w:type="dxa" w:w="2160"/>
          </w:tcPr>
          <w:p>
            <w:r>
              <w:t>M2: Corporate list in place from day one. Anything not on it is counted against an anonymous ID on the PC before upload, so personal browsing appears only as a team total.</w:t>
            </w:r>
          </w:p>
        </w:tc>
        <w:tc>
          <w:tcPr>
            <w:tcW w:type="dxa" w:w="2160"/>
          </w:tcPr>
          <w:p>
            <w:r>
              <w:t>Named records removed</w:t>
            </w:r>
          </w:p>
        </w:tc>
        <w:tc>
          <w:tcPr>
            <w:tcW w:type="dxa" w:w="2160"/>
          </w:tcPr>
          <w:p>
            <w:r>
              <w:t>Low</w:t>
            </w:r>
          </w:p>
        </w:tc>
      </w:tr>
      <w:tr>
        <w:tc>
          <w:tcPr>
            <w:tcW w:type="dxa" w:w="2160"/>
          </w:tcPr>
          <w:p>
            <w:r>
              <w:t>R3</w:t>
            </w:r>
          </w:p>
        </w:tc>
        <w:tc>
          <w:tcPr>
            <w:tcW w:type="dxa" w:w="2160"/>
          </w:tcPr>
          <w:p>
            <w:r>
              <w:t>M3: Meeting time is detected for Microsoft Teams and Skype only, and our softphone is not detected as a meeting. Supervisors are trained that focused time is not attendance. Rule agreed with the works council: activity data alone is never the basis for discipline; any concern is raised with the agent first.</w:t>
            </w:r>
          </w:p>
        </w:tc>
        <w:tc>
          <w:tcPr>
            <w:tcW w:type="dxa" w:w="2160"/>
          </w:tcPr>
          <w:p>
            <w:r>
              <w:t>Reduced</w:t>
            </w:r>
          </w:p>
        </w:tc>
        <w:tc>
          <w:tcPr>
            <w:tcW w:type="dxa" w:w="2160"/>
          </w:tcPr>
          <w:p>
            <w:r>
              <w:t>Medium</w:t>
            </w:r>
          </w:p>
        </w:tc>
      </w:tr>
      <w:tr>
        <w:tc>
          <w:tcPr>
            <w:tcW w:type="dxa" w:w="2160"/>
          </w:tcPr>
          <w:p>
            <w:r>
              <w:t>R4</w:t>
            </w:r>
          </w:p>
        </w:tc>
        <w:tc>
          <w:tcPr>
            <w:tcW w:type="dxa" w:w="2160"/>
          </w:tcPr>
          <w:p>
            <w:r>
              <w:t>M4: Supervisor accounts are read only and scoped to one group each, and an administrator checks each supervisor’s view with the dashboard’s simulate function before go-live and after any group change.</w:t>
            </w:r>
          </w:p>
        </w:tc>
        <w:tc>
          <w:tcPr>
            <w:tcW w:type="dxa" w:w="2160"/>
          </w:tcPr>
          <w:p>
            <w:r>
              <w:t>Reduced</w:t>
            </w:r>
          </w:p>
        </w:tc>
        <w:tc>
          <w:tcPr>
            <w:tcW w:type="dxa" w:w="2160"/>
          </w:tcPr>
          <w:p>
            <w:r>
              <w:t>Low</w:t>
            </w:r>
          </w:p>
        </w:tc>
      </w:tr>
      <w:tr>
        <w:tc>
          <w:tcPr>
            <w:tcW w:type="dxa" w:w="2160"/>
          </w:tcPr>
          <w:p>
            <w:r>
              <w:t>R5</w:t>
            </w:r>
          </w:p>
        </w:tc>
        <w:tc>
          <w:tcPr>
            <w:tcW w:type="dxa" w:w="2160"/>
          </w:tcPr>
          <w:p>
            <w:r>
              <w:t>M5: Retention period of [12 months] agreed in writing with the processor, with the deletion method confirmed before go-live.</w:t>
            </w:r>
          </w:p>
        </w:tc>
        <w:tc>
          <w:tcPr>
            <w:tcW w:type="dxa" w:w="2160"/>
          </w:tcPr>
          <w:p>
            <w:r>
              <w:t>Reduced</w:t>
            </w:r>
          </w:p>
        </w:tc>
        <w:tc>
          <w:tcPr>
            <w:tcW w:type="dxa" w:w="2160"/>
          </w:tcPr>
          <w:p>
            <w:r>
              <w:t>Low</w:t>
            </w:r>
          </w:p>
        </w:tc>
      </w:tr>
      <w:tr>
        <w:tc>
          <w:tcPr>
            <w:tcW w:type="dxa" w:w="2160"/>
          </w:tcPr>
          <w:p>
            <w:r>
              <w:t>R6</w:t>
            </w:r>
          </w:p>
        </w:tc>
        <w:tc>
          <w:tcPr>
            <w:tcW w:type="dxa" w:w="2160"/>
          </w:tcPr>
          <w:p>
            <w:r>
              <w:t>M6: HTTPS on every connection, outbound only; signed installers; dedicated backend requested; DPA signed with Reclaim Time Ltd.</w:t>
            </w:r>
          </w:p>
        </w:tc>
        <w:tc>
          <w:tcPr>
            <w:tcW w:type="dxa" w:w="2160"/>
          </w:tcPr>
          <w:p>
            <w:r>
              <w:t>Reduced</w:t>
            </w:r>
          </w:p>
        </w:tc>
        <w:tc>
          <w:tcPr>
            <w:tcW w:type="dxa" w:w="2160"/>
          </w:tcPr>
          <w:p>
            <w:r>
              <w:t>Low</w:t>
            </w:r>
          </w:p>
        </w:tc>
      </w:tr>
    </w:tbl>
    <w:p/>
    <w:p>
      <w:pPr>
        <w:pStyle w:val="Heading1"/>
      </w:pPr>
      <w:r>
        <w:t>7. Sign-off</w:t>
      </w:r>
    </w:p>
    <w:tbl>
      <w:tblPr>
        <w:tblStyle w:val="LightGrid-Accent1"/>
        <w:tblW w:type="auto" w:w="0"/>
        <w:tblLook w:firstColumn="1" w:firstRow="1" w:lastColumn="0" w:lastRow="0" w:noHBand="0" w:noVBand="1" w:val="04A0"/>
      </w:tblPr>
      <w:tblGrid>
        <w:gridCol w:w="2880"/>
        <w:gridCol w:w="2880"/>
        <w:gridCol w:w="2880"/>
      </w:tblGrid>
      <w:tr>
        <w:tc>
          <w:tcPr>
            <w:tcW w:type="dxa" w:w="2880"/>
          </w:tcPr>
          <w:p>
            <w:r>
              <w:t>Item</w:t>
            </w:r>
          </w:p>
        </w:tc>
        <w:tc>
          <w:tcPr>
            <w:tcW w:type="dxa" w:w="2880"/>
          </w:tcPr>
          <w:p>
            <w:r>
              <w:t>Name or date</w:t>
            </w:r>
          </w:p>
        </w:tc>
        <w:tc>
          <w:tcPr>
            <w:tcW w:type="dxa" w:w="2880"/>
          </w:tcPr>
          <w:p>
            <w:r>
              <w:t>Notes</w:t>
            </w:r>
          </w:p>
        </w:tc>
      </w:tr>
      <w:tr>
        <w:tc>
          <w:tcPr>
            <w:tcW w:type="dxa" w:w="2880"/>
          </w:tcPr>
          <w:p>
            <w:r>
              <w:t>Measures approved by</w:t>
            </w:r>
          </w:p>
        </w:tc>
        <w:tc>
          <w:tcPr>
            <w:tcW w:type="dxa" w:w="2880"/>
          </w:tcPr>
          <w:p>
            <w:r>
              <w:t>[Name, role]</w:t>
            </w:r>
          </w:p>
        </w:tc>
        <w:tc>
          <w:tcPr>
            <w:tcW w:type="dxa" w:w="2880"/>
          </w:tcPr>
          <w:p>
            <w:r>
              <w:t>Actions M1 to M6 added to the pilot plan</w:t>
            </w:r>
          </w:p>
        </w:tc>
      </w:tr>
      <w:tr>
        <w:tc>
          <w:tcPr>
            <w:tcW w:type="dxa" w:w="2880"/>
          </w:tcPr>
          <w:p>
            <w:r>
              <w:t>Residual risks approved by</w:t>
            </w:r>
          </w:p>
        </w:tc>
        <w:tc>
          <w:tcPr>
            <w:tcW w:type="dxa" w:w="2880"/>
          </w:tcPr>
          <w:p>
            <w:r>
              <w:t>[Name, role]</w:t>
            </w:r>
          </w:p>
        </w:tc>
        <w:tc>
          <w:tcPr>
            <w:tcW w:type="dxa" w:w="2880"/>
          </w:tcPr>
          <w:p>
            <w:r>
              <w:t>No high residual risk remains, so prior consultation with the supervisory authority is not needed</w:t>
            </w:r>
          </w:p>
        </w:tc>
      </w:tr>
      <w:tr>
        <w:tc>
          <w:tcPr>
            <w:tcW w:type="dxa" w:w="2880"/>
          </w:tcPr>
          <w:p>
            <w:r>
              <w:t>DPO advice</w:t>
            </w:r>
          </w:p>
        </w:tc>
        <w:tc>
          <w:tcPr>
            <w:tcW w:type="dxa" w:w="2880"/>
          </w:tcPr>
          <w:p>
            <w:r>
              <w:t>[Name]</w:t>
            </w:r>
          </w:p>
        </w:tc>
        <w:tc>
          <w:tcPr>
            <w:tcW w:type="dxa" w:w="2880"/>
          </w:tcPr>
          <w:p>
            <w:r>
              <w:t>[Summary of the advice, and whether it was followed]</w:t>
            </w:r>
          </w:p>
        </w:tc>
      </w:tr>
      <w:tr>
        <w:tc>
          <w:tcPr>
            <w:tcW w:type="dxa" w:w="2880"/>
          </w:tcPr>
          <w:p>
            <w:r>
              <w:t>Review date</w:t>
            </w:r>
          </w:p>
        </w:tc>
        <w:tc>
          <w:tcPr>
            <w:tcW w:type="dxa" w:w="2880"/>
          </w:tcPr>
          <w:p>
            <w:r>
              <w:t>[Date]</w:t>
            </w:r>
          </w:p>
        </w:tc>
        <w:tc>
          <w:tcPr>
            <w:tcW w:type="dxa" w:w="2880"/>
          </w:tcPr>
          <w:p>
            <w:r>
              <w:t>After the 30-day pilot and before rollout to further sites</w:t>
            </w:r>
          </w:p>
        </w:tc>
      </w:tr>
    </w:tbl>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Data protection impact assessment: a worked example</dc:title>
  <dc:subject/>
  <dc:creator>Reclaim Time Ltd</dc:creator>
  <cp:keywords/>
  <dc:description>generated by python-docx</dc:description>
  <cp:lastModifiedBy/>
  <cp:revision>1</cp:revision>
  <dcterms:created xsi:type="dcterms:W3CDTF">2013-12-23T23:15:00Z</dcterms:created>
  <dcterms:modified xsi:type="dcterms:W3CDTF">2013-12-23T23:15:00Z</dcterms:modified>
  <cp:category/>
</cp:coreProperties>
</file>